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_GBK" w:hAnsi="方正小标宋_GBK" w:eastAsia="方正小标宋_GBK" w:cs="方正小标宋_GBK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highlight w:val="none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从业人员名单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申请机构名称（盖章）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：</w:t>
      </w: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25"/>
        <w:gridCol w:w="2187"/>
        <w:gridCol w:w="1378"/>
        <w:gridCol w:w="1517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方正黑体_GBK" w:hAnsi="方正黑体_GBK" w:eastAsia="方正黑体_GBK" w:cs="方正黑体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lang w:val="en-US" w:eastAsia="zh-CN"/>
              </w:rPr>
              <w:t>是否持证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218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517" w:type="dxa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注：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从业人员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名单报送范围：机构法定代表人、机构长护险业务负责人、机构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内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涉及长护险业务的医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师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、护士、护理员。</w:t>
      </w:r>
    </w:p>
    <w:p>
      <w:pPr>
        <w:spacing w:line="560" w:lineRule="exact"/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医疗卫生专业人员请附专业技术职务职称及职业、注册证书等复印件。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B72AA"/>
    <w:rsid w:val="17344D3E"/>
    <w:rsid w:val="1E510C70"/>
    <w:rsid w:val="1F751FA7"/>
    <w:rsid w:val="21064334"/>
    <w:rsid w:val="239F4D72"/>
    <w:rsid w:val="26593C38"/>
    <w:rsid w:val="31121BFA"/>
    <w:rsid w:val="31351916"/>
    <w:rsid w:val="33067D0B"/>
    <w:rsid w:val="380C43ED"/>
    <w:rsid w:val="3D42621E"/>
    <w:rsid w:val="3E3178D4"/>
    <w:rsid w:val="4D071CD1"/>
    <w:rsid w:val="5BCC61CE"/>
    <w:rsid w:val="6841539D"/>
    <w:rsid w:val="68DA5523"/>
    <w:rsid w:val="6EEE5570"/>
    <w:rsid w:val="77E0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+仿宋_GB2312" w:hAnsi="+仿宋_GB2312" w:eastAsia="+仿宋_GB2312" w:cs="+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line="240" w:lineRule="exact"/>
      <w:jc w:val="left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2024-10-11T10:59:00Z</dcterms:created>
  <dc:creator>Lenovo</dc:creator>
  <cp:lastModifiedBy>ghq</cp:lastModifiedBy>
  <dcterms:modified xsi:type="dcterms:W3CDTF">2026-04-23T05:10:50Z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